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09" w:rsidRDefault="00600EAF">
      <w:pPr>
        <w:jc w:val="center"/>
        <w:rPr>
          <w:rFonts w:cs="Times New Roman"/>
          <w:b/>
          <w:bCs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s1026" type="#_x0000_t75" style="position:absolute;left:0;text-align:left;margin-left:3in;margin-top:-36pt;width:42.4pt;height:48.1pt;z-index:1;visibility:visible;mso-wrap-distance-left:0;mso-wrap-distance-right:0">
            <v:imagedata r:id="rId4" o:title=""/>
            <w10:wrap type="square"/>
          </v:shape>
        </w:pict>
      </w:r>
    </w:p>
    <w:p w:rsidR="006C1E09" w:rsidRDefault="006C1E09" w:rsidP="00486FA5">
      <w:pPr>
        <w:jc w:val="center"/>
        <w:outlineLvl w:val="0"/>
        <w:rPr>
          <w:rFonts w:cs="Times New Roman"/>
          <w:b/>
          <w:bCs/>
          <w:sz w:val="29"/>
          <w:szCs w:val="29"/>
        </w:rPr>
      </w:pPr>
      <w:r>
        <w:rPr>
          <w:rFonts w:cs="Times New Roman"/>
          <w:b/>
          <w:bCs/>
          <w:sz w:val="29"/>
          <w:szCs w:val="29"/>
        </w:rPr>
        <w:t>АДМИНИСТРАЦИЯ ЮЖНО-КУБАНСКОГО</w:t>
      </w:r>
    </w:p>
    <w:p w:rsidR="006C1E09" w:rsidRDefault="006C1E09" w:rsidP="00486FA5">
      <w:pPr>
        <w:jc w:val="center"/>
        <w:outlineLvl w:val="0"/>
        <w:rPr>
          <w:rFonts w:cs="Times New Roman"/>
          <w:b/>
          <w:bCs/>
          <w:sz w:val="29"/>
          <w:szCs w:val="29"/>
        </w:rPr>
      </w:pPr>
      <w:r>
        <w:rPr>
          <w:rFonts w:cs="Times New Roman"/>
          <w:b/>
          <w:bCs/>
          <w:sz w:val="29"/>
          <w:szCs w:val="29"/>
        </w:rPr>
        <w:t>СЕЛЬСКОГО ПОСЕЛЕНИЯ ДИНСКОГО РАЙОНА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</w:p>
    <w:p w:rsidR="006C1E09" w:rsidRDefault="006C1E09" w:rsidP="00486FA5">
      <w:pPr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6C1E09" w:rsidRDefault="006C1E09">
      <w:pPr>
        <w:jc w:val="both"/>
        <w:rPr>
          <w:rFonts w:cs="Times New Roman"/>
          <w:sz w:val="29"/>
          <w:szCs w:val="29"/>
        </w:rPr>
      </w:pPr>
    </w:p>
    <w:p w:rsidR="006C1E09" w:rsidRDefault="006C1E09">
      <w:pPr>
        <w:jc w:val="both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 xml:space="preserve">от </w:t>
      </w:r>
      <w:r w:rsidR="00600EAF">
        <w:rPr>
          <w:rFonts w:cs="Times New Roman"/>
          <w:sz w:val="29"/>
          <w:szCs w:val="29"/>
        </w:rPr>
        <w:t>01.03.2016</w:t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</w:r>
      <w:r>
        <w:rPr>
          <w:rFonts w:cs="Times New Roman"/>
          <w:sz w:val="29"/>
          <w:szCs w:val="29"/>
        </w:rPr>
        <w:tab/>
        <w:t xml:space="preserve">№ </w:t>
      </w:r>
      <w:r w:rsidR="00600EAF">
        <w:rPr>
          <w:rFonts w:cs="Times New Roman"/>
          <w:sz w:val="29"/>
          <w:szCs w:val="29"/>
        </w:rPr>
        <w:t>79</w:t>
      </w:r>
    </w:p>
    <w:p w:rsidR="006C1E09" w:rsidRDefault="006C1E09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поселок Южный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</w:p>
    <w:p w:rsidR="006C1E09" w:rsidRDefault="006C1E09">
      <w:pPr>
        <w:jc w:val="center"/>
        <w:rPr>
          <w:rFonts w:cs="Times New Roman"/>
          <w:sz w:val="29"/>
          <w:szCs w:val="29"/>
        </w:rPr>
      </w:pPr>
    </w:p>
    <w:p w:rsidR="006C1E09" w:rsidRDefault="006C1E09" w:rsidP="00486FA5">
      <w:pPr>
        <w:widowControl/>
        <w:spacing w:line="276" w:lineRule="auto"/>
        <w:jc w:val="center"/>
        <w:textAlignment w:val="auto"/>
        <w:outlineLvl w:val="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О включении имущества в Реестр муниципальной собственности</w:t>
      </w:r>
    </w:p>
    <w:p w:rsidR="006C1E09" w:rsidRDefault="006C1E09">
      <w:pPr>
        <w:widowControl/>
        <w:spacing w:line="276" w:lineRule="auto"/>
        <w:jc w:val="center"/>
        <w:textAlignment w:val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Южно-Кубанского сельского поселения </w:t>
      </w:r>
      <w:proofErr w:type="spellStart"/>
      <w:r>
        <w:rPr>
          <w:rFonts w:cs="Times New Roman"/>
          <w:b/>
          <w:bCs/>
          <w:color w:val="auto"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color w:val="auto"/>
          <w:sz w:val="28"/>
          <w:szCs w:val="28"/>
        </w:rPr>
        <w:t xml:space="preserve"> района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</w:p>
    <w:p w:rsidR="006C1E09" w:rsidRPr="009C7078" w:rsidRDefault="006C1E09">
      <w:pPr>
        <w:jc w:val="center"/>
        <w:rPr>
          <w:rFonts w:cs="Times New Roman"/>
          <w:sz w:val="27"/>
          <w:szCs w:val="27"/>
        </w:rPr>
      </w:pPr>
    </w:p>
    <w:p w:rsidR="006C1E09" w:rsidRPr="009C7078" w:rsidRDefault="006C1E09" w:rsidP="009C7078">
      <w:pPr>
        <w:ind w:firstLine="720"/>
        <w:jc w:val="both"/>
        <w:rPr>
          <w:rFonts w:cs="Times New Roman"/>
          <w:sz w:val="27"/>
          <w:szCs w:val="27"/>
        </w:rPr>
      </w:pPr>
      <w:r w:rsidRPr="009C7078">
        <w:rPr>
          <w:rFonts w:cs="Times New Roman"/>
          <w:color w:val="auto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22.12.1993 №2265 «О гарантиях местного самоуправления в Российской Федерации», Постановлением Верховного Совета Российской Федерации от 27.12.1991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Уставом Южно-Кубанского сельского поселения </w:t>
      </w:r>
      <w:proofErr w:type="spellStart"/>
      <w:r w:rsidRPr="009C7078">
        <w:rPr>
          <w:rFonts w:cs="Times New Roman"/>
          <w:color w:val="auto"/>
          <w:sz w:val="27"/>
          <w:szCs w:val="27"/>
        </w:rPr>
        <w:t>Динского</w:t>
      </w:r>
      <w:proofErr w:type="spellEnd"/>
      <w:r w:rsidRPr="009C7078">
        <w:rPr>
          <w:rFonts w:cs="Times New Roman"/>
          <w:color w:val="auto"/>
          <w:sz w:val="27"/>
          <w:szCs w:val="27"/>
        </w:rPr>
        <w:t xml:space="preserve"> района, на основании решения Совета Южно-Кубанского сельского поселения </w:t>
      </w:r>
      <w:proofErr w:type="spellStart"/>
      <w:r w:rsidRPr="009C7078">
        <w:rPr>
          <w:rFonts w:cs="Times New Roman"/>
          <w:color w:val="auto"/>
          <w:sz w:val="27"/>
          <w:szCs w:val="27"/>
        </w:rPr>
        <w:t>Динского</w:t>
      </w:r>
      <w:proofErr w:type="spellEnd"/>
      <w:r w:rsidRPr="009C7078">
        <w:rPr>
          <w:rFonts w:cs="Times New Roman"/>
          <w:color w:val="auto"/>
          <w:sz w:val="27"/>
          <w:szCs w:val="27"/>
        </w:rPr>
        <w:t xml:space="preserve"> района от 29.12.2010 №77 «О Положении о порядке управления и распоряжения объектами муниципальной собственности муниципального образования Южно-Кубанское сельское поселение в составе муниципального образования Динской район», Решением Совета Южно-Кубанского сельского поселения от 25.02.2016 № 84-24/3 «</w:t>
      </w:r>
      <w:r w:rsidRPr="009C7078">
        <w:rPr>
          <w:rFonts w:cs="Times New Roman"/>
          <w:sz w:val="27"/>
          <w:szCs w:val="27"/>
        </w:rPr>
        <w:t xml:space="preserve">О включении имущества в Реестр муниципальной собственности Южно-Кубанского сельского поселения </w:t>
      </w:r>
      <w:proofErr w:type="spellStart"/>
      <w:r w:rsidRPr="009C7078">
        <w:rPr>
          <w:rFonts w:cs="Times New Roman"/>
          <w:sz w:val="27"/>
          <w:szCs w:val="27"/>
        </w:rPr>
        <w:t>Динского</w:t>
      </w:r>
      <w:proofErr w:type="spellEnd"/>
      <w:r w:rsidRPr="009C7078">
        <w:rPr>
          <w:rFonts w:cs="Times New Roman"/>
          <w:sz w:val="27"/>
          <w:szCs w:val="27"/>
        </w:rPr>
        <w:t xml:space="preserve"> района»</w:t>
      </w:r>
      <w:r w:rsidRPr="009C7078">
        <w:rPr>
          <w:rFonts w:cs="Times New Roman"/>
          <w:color w:val="auto"/>
          <w:sz w:val="27"/>
          <w:szCs w:val="27"/>
        </w:rPr>
        <w:t>, п о с т а н о в л я ю:</w:t>
      </w:r>
    </w:p>
    <w:p w:rsidR="006C1E09" w:rsidRPr="009C7078" w:rsidRDefault="006C1E09" w:rsidP="009C7078">
      <w:pPr>
        <w:widowControl/>
        <w:tabs>
          <w:tab w:val="left" w:pos="8460"/>
        </w:tabs>
        <w:ind w:firstLine="720"/>
        <w:jc w:val="both"/>
        <w:textAlignment w:val="auto"/>
        <w:rPr>
          <w:rFonts w:cs="Times New Roman"/>
          <w:color w:val="auto"/>
          <w:sz w:val="27"/>
          <w:szCs w:val="27"/>
        </w:rPr>
      </w:pPr>
      <w:r w:rsidRPr="009C7078">
        <w:rPr>
          <w:rFonts w:cs="Times New Roman"/>
          <w:color w:val="auto"/>
          <w:sz w:val="27"/>
          <w:szCs w:val="27"/>
        </w:rPr>
        <w:t xml:space="preserve">1. </w:t>
      </w:r>
      <w:r w:rsidRPr="009C7078">
        <w:rPr>
          <w:rFonts w:cs="Times New Roman"/>
          <w:sz w:val="27"/>
          <w:szCs w:val="27"/>
        </w:rPr>
        <w:t xml:space="preserve">Включить в Реестр муниципальной собственности Южно-Кубанского сельского поселения </w:t>
      </w:r>
      <w:proofErr w:type="spellStart"/>
      <w:r w:rsidRPr="009C7078">
        <w:rPr>
          <w:rFonts w:cs="Times New Roman"/>
          <w:sz w:val="27"/>
          <w:szCs w:val="27"/>
        </w:rPr>
        <w:t>Динского</w:t>
      </w:r>
      <w:proofErr w:type="spellEnd"/>
      <w:r w:rsidRPr="009C7078">
        <w:rPr>
          <w:rFonts w:cs="Times New Roman"/>
          <w:sz w:val="27"/>
          <w:szCs w:val="27"/>
        </w:rPr>
        <w:t xml:space="preserve"> района имущество согласно приложению</w:t>
      </w:r>
      <w:r w:rsidRPr="009C7078">
        <w:rPr>
          <w:rFonts w:cs="Times New Roman"/>
          <w:color w:val="auto"/>
          <w:sz w:val="27"/>
          <w:szCs w:val="27"/>
        </w:rPr>
        <w:t xml:space="preserve"> к постановлению.</w:t>
      </w:r>
    </w:p>
    <w:p w:rsidR="006C1E09" w:rsidRPr="009C7078" w:rsidRDefault="006C1E09">
      <w:pPr>
        <w:widowControl/>
        <w:tabs>
          <w:tab w:val="left" w:pos="8460"/>
        </w:tabs>
        <w:ind w:firstLine="709"/>
        <w:jc w:val="both"/>
        <w:textAlignment w:val="auto"/>
        <w:rPr>
          <w:rFonts w:cs="Times New Roman"/>
          <w:color w:val="auto"/>
          <w:sz w:val="27"/>
          <w:szCs w:val="27"/>
        </w:rPr>
      </w:pPr>
      <w:r w:rsidRPr="009C7078">
        <w:rPr>
          <w:rFonts w:cs="Times New Roman"/>
          <w:color w:val="auto"/>
          <w:sz w:val="27"/>
          <w:szCs w:val="27"/>
        </w:rPr>
        <w:t xml:space="preserve">2. Передать </w:t>
      </w:r>
      <w:proofErr w:type="gramStart"/>
      <w:r w:rsidRPr="009C7078">
        <w:rPr>
          <w:rFonts w:cs="Times New Roman"/>
          <w:color w:val="auto"/>
          <w:sz w:val="27"/>
          <w:szCs w:val="27"/>
        </w:rPr>
        <w:t>имущество</w:t>
      </w:r>
      <w:proofErr w:type="gramEnd"/>
      <w:r w:rsidRPr="009C7078">
        <w:rPr>
          <w:rFonts w:cs="Times New Roman"/>
          <w:color w:val="auto"/>
          <w:sz w:val="27"/>
          <w:szCs w:val="27"/>
        </w:rPr>
        <w:t xml:space="preserve"> указанное в пункте 1 настоящего решения в муниципальную казну Южно-Кубанского сельского поселения </w:t>
      </w:r>
      <w:proofErr w:type="spellStart"/>
      <w:r w:rsidRPr="009C7078">
        <w:rPr>
          <w:rFonts w:cs="Times New Roman"/>
          <w:color w:val="auto"/>
          <w:sz w:val="27"/>
          <w:szCs w:val="27"/>
        </w:rPr>
        <w:t>Динского</w:t>
      </w:r>
      <w:proofErr w:type="spellEnd"/>
      <w:r w:rsidRPr="009C7078">
        <w:rPr>
          <w:rFonts w:cs="Times New Roman"/>
          <w:color w:val="auto"/>
          <w:sz w:val="27"/>
          <w:szCs w:val="27"/>
        </w:rPr>
        <w:t xml:space="preserve"> района.</w:t>
      </w:r>
    </w:p>
    <w:p w:rsidR="006C1E09" w:rsidRPr="009C7078" w:rsidRDefault="006C1E09" w:rsidP="009C7078">
      <w:pPr>
        <w:autoSpaceDN w:val="0"/>
        <w:ind w:firstLine="720"/>
        <w:jc w:val="both"/>
        <w:rPr>
          <w:rFonts w:cs="Times New Roman"/>
          <w:color w:val="auto"/>
          <w:sz w:val="27"/>
          <w:szCs w:val="27"/>
        </w:rPr>
      </w:pPr>
      <w:r w:rsidRPr="009C7078">
        <w:rPr>
          <w:rFonts w:cs="Times New Roman"/>
          <w:color w:val="auto"/>
          <w:sz w:val="27"/>
          <w:szCs w:val="27"/>
        </w:rPr>
        <w:t xml:space="preserve">3. Контроль за выполнением настоящего решения возложить на </w:t>
      </w:r>
      <w:r w:rsidRPr="009C7078">
        <w:rPr>
          <w:rFonts w:cs="Times New Roman"/>
          <w:kern w:val="3"/>
          <w:sz w:val="27"/>
          <w:szCs w:val="27"/>
        </w:rPr>
        <w:t xml:space="preserve">начальника отдела имущественных, земельных отношений и </w:t>
      </w:r>
      <w:r w:rsidRPr="009C7078">
        <w:rPr>
          <w:rFonts w:cs="Times New Roman"/>
          <w:color w:val="auto"/>
          <w:sz w:val="27"/>
          <w:szCs w:val="27"/>
        </w:rPr>
        <w:t xml:space="preserve">жилищно-коммунального хозяйства (И.Е. </w:t>
      </w:r>
      <w:proofErr w:type="spellStart"/>
      <w:r w:rsidRPr="009C7078">
        <w:rPr>
          <w:rFonts w:cs="Times New Roman"/>
          <w:color w:val="auto"/>
          <w:sz w:val="27"/>
          <w:szCs w:val="27"/>
        </w:rPr>
        <w:t>Кабашный</w:t>
      </w:r>
      <w:proofErr w:type="spellEnd"/>
      <w:r w:rsidRPr="009C7078">
        <w:rPr>
          <w:rFonts w:cs="Times New Roman"/>
          <w:color w:val="auto"/>
          <w:sz w:val="27"/>
          <w:szCs w:val="27"/>
        </w:rPr>
        <w:t>).</w:t>
      </w:r>
    </w:p>
    <w:p w:rsidR="006C1E09" w:rsidRPr="009C7078" w:rsidRDefault="006C1E09">
      <w:pPr>
        <w:widowControl/>
        <w:tabs>
          <w:tab w:val="left" w:pos="8460"/>
        </w:tabs>
        <w:ind w:firstLine="709"/>
        <w:jc w:val="both"/>
        <w:textAlignment w:val="auto"/>
        <w:rPr>
          <w:rFonts w:cs="Times New Roman"/>
          <w:color w:val="auto"/>
          <w:sz w:val="27"/>
          <w:szCs w:val="27"/>
        </w:rPr>
      </w:pPr>
      <w:r w:rsidRPr="009C7078">
        <w:rPr>
          <w:rFonts w:cs="Times New Roman"/>
          <w:color w:val="auto"/>
          <w:sz w:val="27"/>
          <w:szCs w:val="27"/>
        </w:rPr>
        <w:t>4. Настоящее постановление вступает в силу со дня его подписания.</w:t>
      </w:r>
    </w:p>
    <w:p w:rsidR="006C1E09" w:rsidRPr="009C7078" w:rsidRDefault="006C1E09">
      <w:pPr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cs="Times New Roman"/>
          <w:color w:val="auto"/>
          <w:sz w:val="27"/>
          <w:szCs w:val="27"/>
        </w:rPr>
      </w:pPr>
    </w:p>
    <w:p w:rsidR="006C1E09" w:rsidRPr="009C7078" w:rsidRDefault="006C1E09">
      <w:pPr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cs="Times New Roman"/>
          <w:color w:val="auto"/>
          <w:sz w:val="27"/>
          <w:szCs w:val="27"/>
        </w:rPr>
      </w:pPr>
    </w:p>
    <w:p w:rsidR="006C1E09" w:rsidRPr="009C7078" w:rsidRDefault="006C1E09" w:rsidP="00486FA5">
      <w:pPr>
        <w:widowControl/>
        <w:tabs>
          <w:tab w:val="left" w:pos="8460"/>
        </w:tabs>
        <w:spacing w:line="200" w:lineRule="atLeast"/>
        <w:jc w:val="both"/>
        <w:textAlignment w:val="auto"/>
        <w:outlineLvl w:val="0"/>
        <w:rPr>
          <w:rFonts w:cs="Times New Roman"/>
          <w:sz w:val="27"/>
          <w:szCs w:val="27"/>
        </w:rPr>
      </w:pPr>
      <w:r w:rsidRPr="009C7078">
        <w:rPr>
          <w:rFonts w:cs="Times New Roman"/>
          <w:sz w:val="27"/>
          <w:szCs w:val="27"/>
        </w:rPr>
        <w:t>Глава Южно-Кубанского</w:t>
      </w:r>
    </w:p>
    <w:p w:rsidR="006C1E09" w:rsidRDefault="006C1E09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7"/>
          <w:szCs w:val="27"/>
        </w:rPr>
      </w:pPr>
      <w:r w:rsidRPr="009C7078">
        <w:rPr>
          <w:rFonts w:cs="Times New Roman"/>
          <w:sz w:val="27"/>
          <w:szCs w:val="27"/>
        </w:rPr>
        <w:t xml:space="preserve">сельского поселения                                                                            А.А. </w:t>
      </w:r>
      <w:proofErr w:type="spellStart"/>
      <w:r w:rsidRPr="009C7078">
        <w:rPr>
          <w:rFonts w:cs="Times New Roman"/>
          <w:sz w:val="27"/>
          <w:szCs w:val="27"/>
        </w:rPr>
        <w:t>Сивоконь</w:t>
      </w:r>
      <w:proofErr w:type="spellEnd"/>
    </w:p>
    <w:p w:rsidR="006C1E09" w:rsidRDefault="006C1E09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7"/>
          <w:szCs w:val="27"/>
        </w:rPr>
      </w:pPr>
    </w:p>
    <w:p w:rsidR="006C1E09" w:rsidRDefault="006C1E09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7"/>
          <w:szCs w:val="27"/>
        </w:rPr>
      </w:pPr>
    </w:p>
    <w:p w:rsidR="006C1E09" w:rsidRDefault="006C1E09" w:rsidP="00486FA5">
      <w:pPr>
        <w:widowControl/>
        <w:tabs>
          <w:tab w:val="left" w:pos="8460"/>
        </w:tabs>
        <w:spacing w:line="200" w:lineRule="atLeast"/>
        <w:jc w:val="center"/>
        <w:textAlignment w:val="auto"/>
        <w:rPr>
          <w:rFonts w:cs="Times New Roman"/>
          <w:b/>
          <w:bCs/>
          <w:sz w:val="29"/>
          <w:szCs w:val="29"/>
        </w:rPr>
      </w:pPr>
      <w:r>
        <w:rPr>
          <w:rFonts w:cs="Times New Roman"/>
          <w:b/>
          <w:bCs/>
          <w:sz w:val="29"/>
          <w:szCs w:val="29"/>
        </w:rPr>
        <w:lastRenderedPageBreak/>
        <w:t>ЛИСТ СОГЛАСОВАНИЯ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>проекта постановления администрации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 xml:space="preserve">Южно-Кубанского сельского поселения </w:t>
      </w:r>
      <w:proofErr w:type="spellStart"/>
      <w:r>
        <w:rPr>
          <w:rFonts w:cs="Times New Roman"/>
          <w:sz w:val="29"/>
          <w:szCs w:val="29"/>
        </w:rPr>
        <w:t>Динского</w:t>
      </w:r>
      <w:proofErr w:type="spellEnd"/>
      <w:r>
        <w:rPr>
          <w:rFonts w:cs="Times New Roman"/>
          <w:sz w:val="29"/>
          <w:szCs w:val="29"/>
        </w:rPr>
        <w:t xml:space="preserve"> района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>от ____________ 2016 г. № ______</w:t>
      </w:r>
    </w:p>
    <w:p w:rsidR="006C1E09" w:rsidRPr="009C7078" w:rsidRDefault="006C1E09" w:rsidP="009C7078">
      <w:pPr>
        <w:widowControl/>
        <w:spacing w:line="276" w:lineRule="auto"/>
        <w:jc w:val="center"/>
        <w:textAlignment w:val="auto"/>
        <w:rPr>
          <w:rFonts w:cs="Times New Roman"/>
          <w:color w:val="auto"/>
          <w:sz w:val="28"/>
          <w:szCs w:val="28"/>
        </w:rPr>
      </w:pPr>
      <w:r w:rsidRPr="009C7078">
        <w:rPr>
          <w:rFonts w:cs="Times New Roman"/>
          <w:sz w:val="28"/>
          <w:szCs w:val="28"/>
        </w:rPr>
        <w:t>«</w:t>
      </w:r>
      <w:r w:rsidRPr="009C7078">
        <w:rPr>
          <w:rFonts w:cs="Times New Roman"/>
          <w:color w:val="auto"/>
          <w:sz w:val="28"/>
          <w:szCs w:val="28"/>
        </w:rPr>
        <w:t>О включении имущества в Реестр муниципальной собственности</w:t>
      </w:r>
    </w:p>
    <w:p w:rsidR="006C1E09" w:rsidRPr="009C7078" w:rsidRDefault="006C1E09" w:rsidP="009C7078">
      <w:pPr>
        <w:jc w:val="center"/>
        <w:rPr>
          <w:rFonts w:cs="Times New Roman"/>
          <w:sz w:val="28"/>
          <w:szCs w:val="28"/>
        </w:rPr>
      </w:pPr>
      <w:r w:rsidRPr="009C7078">
        <w:rPr>
          <w:rFonts w:cs="Times New Roman"/>
          <w:color w:val="auto"/>
          <w:sz w:val="28"/>
          <w:szCs w:val="28"/>
        </w:rPr>
        <w:t xml:space="preserve">Южно-Кубанского сельского поселения </w:t>
      </w:r>
      <w:proofErr w:type="spellStart"/>
      <w:r w:rsidRPr="009C7078">
        <w:rPr>
          <w:rFonts w:cs="Times New Roman"/>
          <w:color w:val="auto"/>
          <w:sz w:val="28"/>
          <w:szCs w:val="28"/>
        </w:rPr>
        <w:t>Динского</w:t>
      </w:r>
      <w:proofErr w:type="spellEnd"/>
      <w:r w:rsidRPr="009C7078">
        <w:rPr>
          <w:rFonts w:cs="Times New Roman"/>
          <w:color w:val="auto"/>
          <w:sz w:val="28"/>
          <w:szCs w:val="28"/>
        </w:rPr>
        <w:t xml:space="preserve"> района</w:t>
      </w:r>
      <w:r w:rsidRPr="009C7078">
        <w:rPr>
          <w:rFonts w:cs="Times New Roman"/>
          <w:sz w:val="28"/>
          <w:szCs w:val="28"/>
        </w:rPr>
        <w:t>»</w:t>
      </w:r>
    </w:p>
    <w:p w:rsidR="006C1E09" w:rsidRDefault="006C1E09">
      <w:pPr>
        <w:jc w:val="center"/>
        <w:rPr>
          <w:rFonts w:cs="Times New Roman"/>
          <w:sz w:val="29"/>
          <w:szCs w:val="29"/>
        </w:rPr>
      </w:pPr>
    </w:p>
    <w:p w:rsidR="006C1E09" w:rsidRDefault="006C1E09" w:rsidP="009C70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C1E09" w:rsidRDefault="006C1E09" w:rsidP="009C70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C1E09" w:rsidRDefault="006C1E09" w:rsidP="009C70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имущественных, земельных</w:t>
      </w:r>
    </w:p>
    <w:p w:rsidR="006C1E09" w:rsidRDefault="006C1E09" w:rsidP="009C70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отношений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И.Е. </w:t>
      </w:r>
      <w:proofErr w:type="spellStart"/>
      <w:r>
        <w:rPr>
          <w:sz w:val="28"/>
          <w:szCs w:val="28"/>
        </w:rPr>
        <w:t>Кабашный</w:t>
      </w:r>
      <w:proofErr w:type="spellEnd"/>
    </w:p>
    <w:p w:rsidR="006C1E09" w:rsidRDefault="006C1E09" w:rsidP="009C7078">
      <w:pPr>
        <w:pStyle w:val="Standard"/>
        <w:rPr>
          <w:sz w:val="28"/>
          <w:szCs w:val="28"/>
        </w:rPr>
      </w:pPr>
    </w:p>
    <w:p w:rsidR="006C1E09" w:rsidRDefault="006C1E09" w:rsidP="009C70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C1E09" w:rsidRDefault="006C1E09" w:rsidP="009C7078">
      <w:pPr>
        <w:pStyle w:val="Standard"/>
        <w:jc w:val="both"/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Заболотняя</w:t>
      </w:r>
      <w:proofErr w:type="spellEnd"/>
    </w:p>
    <w:p w:rsidR="006C1E09" w:rsidRDefault="006C1E09" w:rsidP="00486FA5">
      <w:pPr>
        <w:ind w:left="4820"/>
        <w:outlineLvl w:val="0"/>
        <w:rPr>
          <w:rStyle w:val="10"/>
          <w:rFonts w:cs="Times New Roman"/>
          <w:sz w:val="28"/>
          <w:szCs w:val="28"/>
        </w:rPr>
        <w:sectPr w:rsidR="006C1E09" w:rsidSect="00486FA5">
          <w:pgSz w:w="11906" w:h="16838"/>
          <w:pgMar w:top="1079" w:right="567" w:bottom="851" w:left="1701" w:header="0" w:footer="0" w:gutter="0"/>
          <w:cols w:space="708"/>
          <w:formProt w:val="0"/>
          <w:docGrid w:linePitch="360"/>
        </w:sectPr>
      </w:pPr>
    </w:p>
    <w:p w:rsidR="006C1E09" w:rsidRDefault="006C1E09" w:rsidP="00486FA5">
      <w:pPr>
        <w:ind w:left="10260"/>
        <w:outlineLvl w:val="0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lastRenderedPageBreak/>
        <w:t>ПРИЛОЖЕНИЕ</w:t>
      </w:r>
    </w:p>
    <w:p w:rsidR="006C1E09" w:rsidRDefault="006C1E09" w:rsidP="00486FA5">
      <w:pPr>
        <w:ind w:left="10260"/>
        <w:rPr>
          <w:rStyle w:val="10"/>
          <w:rFonts w:cs="Times New Roman"/>
          <w:sz w:val="28"/>
          <w:szCs w:val="28"/>
        </w:rPr>
      </w:pPr>
    </w:p>
    <w:p w:rsidR="006C1E09" w:rsidRDefault="006C1E09" w:rsidP="00486FA5">
      <w:pPr>
        <w:ind w:left="10260"/>
        <w:outlineLvl w:val="0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УТВЕРЖДЕН</w:t>
      </w:r>
    </w:p>
    <w:p w:rsidR="006C1E09" w:rsidRDefault="006C1E09" w:rsidP="00486FA5">
      <w:pPr>
        <w:ind w:left="10260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постановлением администрации</w:t>
      </w:r>
    </w:p>
    <w:p w:rsidR="006C1E09" w:rsidRDefault="006C1E09" w:rsidP="00486FA5">
      <w:pPr>
        <w:ind w:left="10260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Южно-Кубанского сельского поселения</w:t>
      </w:r>
    </w:p>
    <w:p w:rsidR="006C1E09" w:rsidRDefault="006C1E09" w:rsidP="00486FA5">
      <w:pPr>
        <w:ind w:left="10260"/>
        <w:outlineLvl w:val="0"/>
        <w:rPr>
          <w:rStyle w:val="10"/>
          <w:rFonts w:cs="Times New Roman"/>
          <w:sz w:val="28"/>
          <w:szCs w:val="28"/>
        </w:rPr>
      </w:pPr>
      <w:proofErr w:type="spellStart"/>
      <w:r>
        <w:rPr>
          <w:rStyle w:val="10"/>
          <w:rFonts w:cs="Times New Roman"/>
          <w:sz w:val="28"/>
          <w:szCs w:val="28"/>
        </w:rPr>
        <w:t>Динского</w:t>
      </w:r>
      <w:proofErr w:type="spellEnd"/>
      <w:r>
        <w:rPr>
          <w:rStyle w:val="10"/>
          <w:rFonts w:cs="Times New Roman"/>
          <w:sz w:val="28"/>
          <w:szCs w:val="28"/>
        </w:rPr>
        <w:t xml:space="preserve"> района</w:t>
      </w:r>
    </w:p>
    <w:p w:rsidR="006C1E09" w:rsidRDefault="006C1E09" w:rsidP="00486FA5">
      <w:pPr>
        <w:ind w:left="10260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от </w:t>
      </w:r>
      <w:r w:rsidR="00600EAF">
        <w:rPr>
          <w:rStyle w:val="10"/>
          <w:rFonts w:cs="Times New Roman"/>
          <w:sz w:val="28"/>
          <w:szCs w:val="28"/>
        </w:rPr>
        <w:t>01.03.</w:t>
      </w:r>
      <w:r>
        <w:rPr>
          <w:rStyle w:val="10"/>
          <w:rFonts w:cs="Times New Roman"/>
          <w:sz w:val="28"/>
          <w:szCs w:val="28"/>
        </w:rPr>
        <w:t xml:space="preserve">2016 г. № </w:t>
      </w:r>
      <w:r w:rsidR="00600EAF">
        <w:rPr>
          <w:rStyle w:val="10"/>
          <w:rFonts w:cs="Times New Roman"/>
          <w:sz w:val="28"/>
          <w:szCs w:val="28"/>
        </w:rPr>
        <w:t>79</w:t>
      </w:r>
      <w:bookmarkStart w:id="0" w:name="_GoBack"/>
      <w:bookmarkEnd w:id="0"/>
    </w:p>
    <w:p w:rsidR="006C1E09" w:rsidRDefault="006C1E09" w:rsidP="00486FA5">
      <w:pPr>
        <w:jc w:val="both"/>
        <w:rPr>
          <w:rFonts w:cs="Times New Roman"/>
          <w:sz w:val="28"/>
          <w:szCs w:val="28"/>
        </w:rPr>
      </w:pPr>
    </w:p>
    <w:p w:rsidR="006C1E09" w:rsidRDefault="006C1E09" w:rsidP="00486FA5">
      <w:pPr>
        <w:autoSpaceDN w:val="0"/>
        <w:jc w:val="center"/>
        <w:outlineLvl w:val="0"/>
        <w:rPr>
          <w:rFonts w:cs="Times New Roman"/>
          <w:kern w:val="3"/>
          <w:sz w:val="29"/>
          <w:szCs w:val="29"/>
        </w:rPr>
      </w:pPr>
      <w:r>
        <w:rPr>
          <w:rFonts w:cs="Times New Roman"/>
          <w:kern w:val="3"/>
          <w:sz w:val="29"/>
          <w:szCs w:val="29"/>
        </w:rPr>
        <w:t>Перечень</w:t>
      </w:r>
    </w:p>
    <w:p w:rsidR="006C1E09" w:rsidRDefault="006C1E09" w:rsidP="00486FA5">
      <w:pPr>
        <w:autoSpaceDN w:val="0"/>
        <w:jc w:val="center"/>
        <w:rPr>
          <w:rFonts w:cs="Times New Roman"/>
          <w:kern w:val="3"/>
          <w:sz w:val="29"/>
          <w:szCs w:val="29"/>
        </w:rPr>
      </w:pPr>
      <w:r>
        <w:rPr>
          <w:rFonts w:cs="Times New Roman"/>
          <w:kern w:val="3"/>
          <w:sz w:val="29"/>
          <w:szCs w:val="29"/>
        </w:rPr>
        <w:t>имущества включаемого в Реестр муниципальной собственности</w:t>
      </w:r>
    </w:p>
    <w:p w:rsidR="006C1E09" w:rsidRDefault="006C1E09" w:rsidP="00486FA5">
      <w:pPr>
        <w:autoSpaceDN w:val="0"/>
        <w:jc w:val="center"/>
        <w:rPr>
          <w:rFonts w:cs="Times New Roman"/>
          <w:kern w:val="3"/>
          <w:sz w:val="29"/>
          <w:szCs w:val="29"/>
        </w:rPr>
      </w:pPr>
      <w:r>
        <w:rPr>
          <w:rFonts w:cs="Times New Roman"/>
          <w:kern w:val="3"/>
          <w:sz w:val="29"/>
          <w:szCs w:val="29"/>
        </w:rPr>
        <w:t xml:space="preserve">Южно-Кубанского сельского поселения </w:t>
      </w:r>
      <w:proofErr w:type="spellStart"/>
      <w:r>
        <w:rPr>
          <w:rFonts w:cs="Times New Roman"/>
          <w:kern w:val="3"/>
          <w:sz w:val="29"/>
          <w:szCs w:val="29"/>
        </w:rPr>
        <w:t>Динского</w:t>
      </w:r>
      <w:proofErr w:type="spellEnd"/>
      <w:r>
        <w:rPr>
          <w:rFonts w:cs="Times New Roman"/>
          <w:kern w:val="3"/>
          <w:sz w:val="29"/>
          <w:szCs w:val="29"/>
        </w:rPr>
        <w:t xml:space="preserve"> района</w:t>
      </w:r>
    </w:p>
    <w:p w:rsidR="006C1E09" w:rsidRDefault="006C1E09" w:rsidP="00486FA5">
      <w:pPr>
        <w:autoSpaceDN w:val="0"/>
        <w:jc w:val="center"/>
        <w:rPr>
          <w:rFonts w:cs="Times New Roman"/>
          <w:kern w:val="3"/>
          <w:sz w:val="29"/>
          <w:szCs w:val="29"/>
        </w:rPr>
      </w:pPr>
    </w:p>
    <w:tbl>
      <w:tblPr>
        <w:tblW w:w="15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3240"/>
        <w:gridCol w:w="4320"/>
        <w:gridCol w:w="1440"/>
        <w:gridCol w:w="1080"/>
        <w:gridCol w:w="1813"/>
        <w:gridCol w:w="1813"/>
      </w:tblGrid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№ п/п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Кадастровый номер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Полное наименование, балансодержателя имущества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Юридический адрес, предприятия, имущества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Год ввода в эксплуатацию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Фактический износ (руб./%)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Балансовая стоимость (руб.)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Остаточная стоимость на 01.01.2016 (руб.)</w:t>
            </w: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b/>
                <w:bCs/>
                <w:kern w:val="3"/>
              </w:rPr>
            </w:pPr>
            <w:r w:rsidRPr="00FB7AED">
              <w:rPr>
                <w:rFonts w:cs="Times New Roman"/>
                <w:b/>
                <w:bCs/>
                <w:kern w:val="3"/>
              </w:rPr>
              <w:t xml:space="preserve">Казна Южно-Кубанского сельского поселения </w:t>
            </w:r>
            <w:proofErr w:type="spellStart"/>
            <w:r w:rsidRPr="00FB7AED">
              <w:rPr>
                <w:rFonts w:cs="Times New Roman"/>
                <w:b/>
                <w:bCs/>
                <w:kern w:val="3"/>
              </w:rPr>
              <w:t>Динского</w:t>
            </w:r>
            <w:proofErr w:type="spellEnd"/>
            <w:r w:rsidRPr="00FB7AED">
              <w:rPr>
                <w:rFonts w:cs="Times New Roman"/>
                <w:b/>
                <w:bCs/>
                <w:kern w:val="3"/>
              </w:rPr>
              <w:t xml:space="preserve"> района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353217, Краснодарский край, Динской район, пос. Южный, ул. Северная 2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1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Восточная и ул. Светлая (КТП КУ-1-863)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Московская и у. Светлая (КТП КУ-1-840)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Новая и ул. Мира (КТП КУ-3-913)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lastRenderedPageBreak/>
              <w:t>4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Восточная и ул. Трудовая (КТП КУ-3-821)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5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Ягодная и ул. Спортивная (КТП КУ-3-917)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6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Цветочная и ул. Спортивная (КТП КУ-3-918)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7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Прибор учета потребленной электроэнергии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Западная и ул. Цветочная (КПТ КУ-3-919)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20 551,0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  <w:tr w:rsidR="006C1E09" w:rsidRPr="00FB7AED">
        <w:tc>
          <w:tcPr>
            <w:tcW w:w="648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8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center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-//-</w:t>
            </w:r>
          </w:p>
        </w:tc>
        <w:tc>
          <w:tcPr>
            <w:tcW w:w="32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Пешеходный тротуар</w:t>
            </w:r>
          </w:p>
        </w:tc>
        <w:tc>
          <w:tcPr>
            <w:tcW w:w="432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353217. Краснодарский край, Динской район, пос. Южный, ул. Железнодорожная</w:t>
            </w:r>
          </w:p>
        </w:tc>
        <w:tc>
          <w:tcPr>
            <w:tcW w:w="144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2015</w:t>
            </w:r>
          </w:p>
        </w:tc>
        <w:tc>
          <w:tcPr>
            <w:tcW w:w="1080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  <w:r w:rsidRPr="00FB7AED">
              <w:rPr>
                <w:rFonts w:cs="Times New Roman"/>
                <w:kern w:val="3"/>
              </w:rPr>
              <w:t>464 103,88</w:t>
            </w:r>
          </w:p>
        </w:tc>
        <w:tc>
          <w:tcPr>
            <w:tcW w:w="1813" w:type="dxa"/>
          </w:tcPr>
          <w:p w:rsidR="006C1E09" w:rsidRPr="00FB7AED" w:rsidRDefault="006C1E09" w:rsidP="002A3D59">
            <w:pPr>
              <w:autoSpaceDN w:val="0"/>
              <w:jc w:val="both"/>
              <w:rPr>
                <w:rFonts w:cs="Times New Roman"/>
                <w:kern w:val="3"/>
              </w:rPr>
            </w:pPr>
          </w:p>
        </w:tc>
      </w:tr>
    </w:tbl>
    <w:p w:rsidR="006C1E09" w:rsidRDefault="006C1E09" w:rsidP="009C7078">
      <w:pPr>
        <w:jc w:val="both"/>
        <w:rPr>
          <w:rFonts w:cs="Times New Roman"/>
        </w:rPr>
      </w:pPr>
    </w:p>
    <w:sectPr w:rsidR="006C1E09" w:rsidSect="00486FA5">
      <w:pgSz w:w="16838" w:h="11906" w:orient="landscape"/>
      <w:pgMar w:top="1797" w:right="851" w:bottom="170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C98"/>
    <w:rsid w:val="001A5219"/>
    <w:rsid w:val="002A3D59"/>
    <w:rsid w:val="002D3C98"/>
    <w:rsid w:val="00422205"/>
    <w:rsid w:val="00486FA5"/>
    <w:rsid w:val="00524683"/>
    <w:rsid w:val="00600EAF"/>
    <w:rsid w:val="00671632"/>
    <w:rsid w:val="006C1E09"/>
    <w:rsid w:val="009C7078"/>
    <w:rsid w:val="00B222B8"/>
    <w:rsid w:val="00C16F54"/>
    <w:rsid w:val="00FB0E0F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F2C1B21-D74A-40C0-A293-A544075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98"/>
    <w:pPr>
      <w:keepNext/>
      <w:widowControl w:val="0"/>
      <w:shd w:val="clear" w:color="auto" w:fill="FFFFFF"/>
      <w:suppressAutoHyphens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uiPriority w:val="99"/>
    <w:rsid w:val="002D3C98"/>
    <w:rPr>
      <w:rFonts w:ascii="StarSymbol" w:hAnsi="StarSymbol" w:cs="StarSymbol"/>
      <w:sz w:val="18"/>
      <w:szCs w:val="18"/>
    </w:rPr>
  </w:style>
  <w:style w:type="character" w:customStyle="1" w:styleId="a4">
    <w:name w:val="Символ нумерации"/>
    <w:uiPriority w:val="99"/>
    <w:rsid w:val="002D3C98"/>
  </w:style>
  <w:style w:type="character" w:customStyle="1" w:styleId="a5">
    <w:name w:val="Текст выноски Знак"/>
    <w:uiPriority w:val="99"/>
    <w:rsid w:val="002D3C9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"/>
    <w:uiPriority w:val="99"/>
    <w:semiHidden/>
    <w:rsid w:val="002D3C98"/>
    <w:rPr>
      <w:rFonts w:ascii="Tahoma" w:hAnsi="Tahoma"/>
      <w:sz w:val="16"/>
      <w:szCs w:val="16"/>
    </w:rPr>
  </w:style>
  <w:style w:type="character" w:customStyle="1" w:styleId="1">
    <w:name w:val="Текст выноски Знак1"/>
    <w:link w:val="a6"/>
    <w:uiPriority w:val="99"/>
    <w:semiHidden/>
    <w:locked/>
    <w:rPr>
      <w:color w:val="000000"/>
      <w:sz w:val="2"/>
      <w:szCs w:val="2"/>
      <w:shd w:val="clear" w:color="auto" w:fill="FFFFFF"/>
    </w:rPr>
  </w:style>
  <w:style w:type="paragraph" w:customStyle="1" w:styleId="Standard">
    <w:name w:val="Standard"/>
    <w:uiPriority w:val="99"/>
    <w:rsid w:val="009C7078"/>
    <w:pPr>
      <w:widowControl w:val="0"/>
      <w:suppressAutoHyphens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</w:rPr>
  </w:style>
  <w:style w:type="character" w:customStyle="1" w:styleId="10">
    <w:name w:val="Основной шрифт абзаца1"/>
    <w:uiPriority w:val="99"/>
    <w:rsid w:val="009C7078"/>
  </w:style>
  <w:style w:type="paragraph" w:styleId="a7">
    <w:name w:val="Document Map"/>
    <w:basedOn w:val="a"/>
    <w:link w:val="a8"/>
    <w:uiPriority w:val="99"/>
    <w:semiHidden/>
    <w:rsid w:val="00486FA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color w:val="000000"/>
      <w:sz w:val="2"/>
      <w:szCs w:val="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2016-02-29T11:52:00Z</cp:lastPrinted>
  <dcterms:created xsi:type="dcterms:W3CDTF">2016-02-29T11:51:00Z</dcterms:created>
  <dcterms:modified xsi:type="dcterms:W3CDTF">2016-03-02T07:37:00Z</dcterms:modified>
</cp:coreProperties>
</file>